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551"/>
        </w:tabs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551"/>
        </w:tabs>
        <w:spacing w:after="0" w:before="0" w:line="276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ДОГОВОР ПОЖЕРТВОВАНИЯ </w:t>
        <w:br w:type="textWrapping"/>
        <w:t xml:space="preserve">НА ПОПОЛНЕНИЕ ЦЕЛЕВОГО КАПИТАЛА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8"/>
          <w:tab w:val="left" w:leader="none" w:pos="6608"/>
          <w:tab w:val="left" w:leader="none" w:pos="9069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г.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 xml:space="preserve">«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год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94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Гражданин Российской Федерации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737"/>
          <w:tab w:val="left" w:leader="none" w:pos="4966"/>
          <w:tab w:val="left" w:leader="none" w:pos="5914"/>
          <w:tab w:val="left" w:leader="none" w:pos="7171"/>
          <w:tab w:val="left" w:leader="none" w:pos="8399"/>
          <w:tab w:val="left" w:leader="none" w:pos="9347"/>
        </w:tabs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(паспорт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серии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№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выдан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проживающий/ая по адресу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), именуемый в дальнейшем «Жертвователь», с одной стороны, и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  <w:tab w:val="left" w:leader="none" w:pos="3737"/>
          <w:tab w:val="left" w:leader="none" w:pos="4966"/>
          <w:tab w:val="left" w:leader="none" w:pos="5914"/>
          <w:tab w:val="left" w:leader="none" w:pos="7171"/>
          <w:tab w:val="left" w:leader="none" w:pos="8399"/>
          <w:tab w:val="left" w:leader="none" w:pos="9347"/>
        </w:tabs>
        <w:spacing w:after="0" w:before="0" w:line="276" w:lineRule="auto"/>
        <w:ind w:left="0" w:right="0" w:firstLine="0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Автономная некоммерческая организация социальных и благотворительных программ «Синяя птица»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именуемый в дальнейшем «Организация», в лице </w:t>
      </w:r>
      <w:r w:rsidDel="00000000" w:rsidR="00000000" w:rsidRPr="00000000">
        <w:rPr>
          <w:sz w:val="24"/>
          <w:szCs w:val="24"/>
          <w:rtl w:val="0"/>
        </w:rPr>
        <w:t xml:space="preserve">генерального директора Кураускас Александры Васильевны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действующего на основании Устава, с другой стороны, в дальнейшем вместе именуемые «Стороны», заключили настоящий Договор (далее – Договор)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71"/>
        </w:tabs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0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обязуется безвозмездно передать Организации на </w:t>
      </w:r>
      <w:r w:rsidDel="00000000" w:rsidR="00000000" w:rsidRPr="00000000">
        <w:rPr>
          <w:sz w:val="24"/>
          <w:szCs w:val="24"/>
          <w:rtl w:val="0"/>
        </w:rPr>
        <w:t xml:space="preserve">пополнение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целевого капитала </w:t>
      </w:r>
      <w:r w:rsidDel="00000000" w:rsidR="00000000" w:rsidRPr="00000000">
        <w:rPr>
          <w:sz w:val="24"/>
          <w:szCs w:val="24"/>
          <w:rtl w:val="0"/>
        </w:rPr>
        <w:t xml:space="preserve">«Открытие»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– Целевой капитал) в качестве добровольного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пожертвования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денежные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средства</w:t>
      </w:r>
      <w:r w:rsidDel="00000000" w:rsidR="00000000" w:rsidRPr="00000000">
        <w:rPr>
          <w:sz w:val="24"/>
          <w:szCs w:val="24"/>
          <w:rtl w:val="0"/>
        </w:rPr>
        <w:t xml:space="preserve"> (далее Пожертвование)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размере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 xml:space="preserve"> </w:t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рублей 00 копеек.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567"/>
          <w:tab w:val="left" w:leader="none" w:pos="851"/>
          <w:tab w:val="left" w:leader="none" w:pos="993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обязуется принять Пожертвование и использовать его в порядке и на условиях установленных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УСЛОВИЯ ИСПОЛЬЗОВАНИЯ ПОЖЕРТВОВАНИЯ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Целью Пожертвования является использование Пожертвования в качестве имущества, составляющего Целевой капитал, в том числе: получение дохода от целевого капитала, использование и распределение дохода от Целевого капитала в пользу получателей дохода, определенных в порядке, предусмотренном Законом, а также Уставом Организации.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1143"/>
          <w:tab w:val="left" w:leader="none" w:pos="8502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и назначение использования дохода от целевого капитала, объем выплат за счет дохода от Целевого капитала, периодичность и порядок их осуществления определены Советом по использованию целевого капитала и Советом Учредителей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7"/>
        </w:tabs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СТОРОН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4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Жертвователя: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гарантирует, что не является получателем денежных средств и иного имущества от иностранных источников (иностранных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лиц), а также не действует в качестве посредника при получении таких денежных средств и (или) иного имущества (за исключением открытых акционерных обществ с государственным участием и их дочерних обществ), и (или) от российских юридических лиц, бенефициарными владельцами которых в значении, определенном пунктом 8 статьи 6.1 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терроризма», являются иностранные граждане или лица без гражданства.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обязуется передать Пожертвование путем перечисления денежных средств в размере, указанном в п.1.1. настоящего Договора, на расчетный счет Организации, открытый для осуществления расчетов, связанных с получением денежных средств на формирование и пополнение  Целевого капитала и указанный в </w:t>
      </w:r>
      <w:r w:rsidDel="00000000" w:rsidR="00000000" w:rsidRPr="00000000">
        <w:rPr>
          <w:sz w:val="24"/>
          <w:szCs w:val="24"/>
          <w:rtl w:val="0"/>
        </w:rPr>
        <w:t xml:space="preserve">настоящем </w:t>
      </w:r>
      <w:r w:rsidDel="00000000" w:rsidR="00000000" w:rsidRPr="00000000">
        <w:rPr>
          <w:sz w:val="24"/>
          <w:szCs w:val="24"/>
          <w:rtl w:val="0"/>
        </w:rPr>
        <w:t xml:space="preserve">Договоре, в течение 20 (двадцати) рабочих дней после подписания Сторонами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его наследники или иные правопреемники</w:t>
      </w:r>
      <w:r w:rsidDel="00000000" w:rsidR="00000000" w:rsidRPr="00000000">
        <w:rPr>
          <w:color w:val="3b3838"/>
          <w:sz w:val="24"/>
          <w:szCs w:val="24"/>
          <w:rtl w:val="0"/>
        </w:rPr>
        <w:t xml:space="preserve">)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вправе получать информацию о доходе от доверительного управления целевым капиталом, а также об использовании дохода от целевого капитала, в который Жертвователем были внесены денежные средства, указанные в п.1.2. Договора, в порядке, установленном Федеральным законом от 30.12.2006 №275-ФЗ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Жертвователь (его наследники или иные правопреемники) в любой момент вправе потребовать включить себя или своего представителя в состав Совета по использованию Целевого капитала, если размер пожертвования Жертвователя составляет более 10 процентов балансовой стоимости имущества, составляющего Целевой капитал, на момент передачи пожертвования..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вправе воспользоваться иными правами, предоставленными им законодательством Российской Федерации и, в частности, Федеральным законом Российской Федерации от 30.12.2006 № 275-ФЗ «О порядке формирования и использования целевого капитала некоммерческих организаций».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4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Права и обязанности Организации: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вправе в любое время до передачи Жертвователем Пожертвования отказаться от него. Отказ Одаряемого от Пожертвования должен быть совершен в письменной форме. В этом случае Договор считается расторгнутым с момента получения Жертвователем отказа.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обязана использовать доход от Целевого капитала в соответствии с условиями, указанными в п. 1.2. настоящем Договоре.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tabs>
          <w:tab w:val="left" w:leader="none" w:pos="1338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Организация </w:t>
      </w:r>
      <w:r w:rsidDel="00000000" w:rsidR="00000000" w:rsidRPr="00000000">
        <w:rPr>
          <w:sz w:val="24"/>
          <w:szCs w:val="24"/>
          <w:rtl w:val="0"/>
        </w:rPr>
        <w:t xml:space="preserve">в соответствии с п. 8.1. ст. 6 Федерального закона от 30.12.2006 г. № 275-ФЗ «О порядке формирования и использования целевого капитала некоммерческих организаций»</w:t>
      </w:r>
      <w:r w:rsidDel="00000000" w:rsidR="00000000" w:rsidRPr="00000000">
        <w:rPr>
          <w:sz w:val="24"/>
          <w:szCs w:val="24"/>
          <w:rtl w:val="0"/>
        </w:rPr>
        <w:t xml:space="preserve"> вправе использовать на административно-управленческие расходы, указанные в п. 3 ст. 3 Федерального закона от 30.12.2006 №275-ФЗ «О порядке формирования и использования целевого капитала некоммерческих организаций», не более 5 процентов от суммы Пожертвования.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tabs>
          <w:tab w:val="left" w:leader="none" w:pos="1338"/>
        </w:tabs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</w:t>
      </w:r>
      <w:r w:rsidDel="00000000" w:rsidR="00000000" w:rsidRPr="00000000">
        <w:rPr>
          <w:sz w:val="24"/>
          <w:szCs w:val="24"/>
          <w:rtl w:val="0"/>
        </w:rPr>
        <w:t xml:space="preserve"> не позднее шести месяцев после окончания отчетного года обязана подготовить и утвердить годовой отчет о формировании и пополнении целевого капитала и об использовании, о распределении дохода от целевого капитала. </w:t>
      </w:r>
      <w:r w:rsidDel="00000000" w:rsidR="00000000" w:rsidRPr="00000000">
        <w:rPr>
          <w:sz w:val="24"/>
          <w:szCs w:val="24"/>
          <w:rtl w:val="0"/>
        </w:rPr>
        <w:t xml:space="preserve">и размещает его на  сайте Организации в сети Интернет.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8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Организация исполняет иные обязанности и пользуется иными правами в соответствии с законодательством </w:t>
      </w:r>
      <w:r w:rsidDel="00000000" w:rsidR="00000000" w:rsidRPr="00000000">
        <w:rPr>
          <w:sz w:val="24"/>
          <w:szCs w:val="24"/>
          <w:rtl w:val="0"/>
        </w:rPr>
        <w:t xml:space="preserve">Российской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Федерации и, в частности, в соответствии с Федеральным законом Российской Федерации от 30.12.2006 № 275-ФЗ «О порядке формирования и использования целевого капитала некоммерческих организаций», а также уставом Организации.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left="708.6614173228347" w:right="0" w:hanging="708.6614173228347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РАЗРЕШЕНИЕ СПОРОВ</w:t>
      </w:r>
    </w:p>
    <w:p w:rsidR="00000000" w:rsidDel="00000000" w:rsidP="00000000" w:rsidRDefault="00000000" w:rsidRPr="00000000" w14:paraId="00000021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</w:t>
        <w:tab/>
        <w:t xml:space="preserve">К настоящему Договору и к отношениям Сторон по нему применяется законодательство Российской Федерации.</w:t>
      </w:r>
    </w:p>
    <w:p w:rsidR="00000000" w:rsidDel="00000000" w:rsidP="00000000" w:rsidRDefault="00000000" w:rsidRPr="00000000" w14:paraId="00000022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</w:t>
        <w:tab/>
        <w:t xml:space="preserve">Все споры, связанные с заключением, толкованием, исполнением и расторжением настоящего Договора, будут разрешаться Сторонами путем переговоров, а при невозможности разрешения путем переговоров - в суде в соответствии с действующим законодательством РФ, с обязательным соблюдением досудебного (претензионного) порядка урегулирования спора, предусмотренного пунктами 4.3 - 4.5 Договора.</w:t>
      </w:r>
    </w:p>
    <w:p w:rsidR="00000000" w:rsidDel="00000000" w:rsidP="00000000" w:rsidRDefault="00000000" w:rsidRPr="00000000" w14:paraId="00000023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</w:t>
        <w:tab/>
        <w:t xml:space="preserve">В случае не достижения соглашения в ходе переговоров, указанных в п. 4.2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000000" w:rsidDel="00000000" w:rsidP="00000000" w:rsidRDefault="00000000" w:rsidRPr="00000000" w14:paraId="00000024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</w:t>
        <w:tab/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000000" w:rsidDel="00000000" w:rsidP="00000000" w:rsidRDefault="00000000" w:rsidRPr="00000000" w14:paraId="00000025">
      <w:pPr>
        <w:widowControl w:val="1"/>
        <w:spacing w:line="276" w:lineRule="auto"/>
        <w:ind w:left="708.6614173228347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</w:t>
        <w:tab/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(Двадцати) рабочих дней со дня получения претензии.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4.6. </w:t>
        <w:tab/>
        <w:t xml:space="preserve">В случае не урегулирования разногласий в претензионном порядке, а также в случае неполучения ответа на претензию в течение срока, указанного в п. 4.5 Договора, спор передается для разрешения в суд по месту нахождения Организации. Договор регулируется и подлежит толкованию в соответствии с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0"/>
        </w:tabs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tabs>
          <w:tab w:val="left" w:leader="none" w:pos="1143"/>
        </w:tabs>
        <w:spacing w:line="276" w:lineRule="auto"/>
        <w:ind w:left="708.6614173228347" w:right="-2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изменения, дополнения и приложения к Договору должны быть совершены в письменной форме и подписаны надлежащим образом уполномоченными представителями Сторон. Все изменения, приложения и дополнения, составленные в надлежащей форме и в соответствии с условиями Договора, являются его составной и неотъемлемой частью.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Договор может быть расторгнут досрочно письменным соглашением Сторон в любое время, а также по иным основаниям, предусмотренным действующим законодательством РФ и Договором.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обязуются хранить в тайне и не раскрывать без предварительного письменного согласия другой Стороны настоящего Договора конфиденциальную информацию и данные, ставшие известными Сторонам в связи с обсуждением, заключением и исполнением настоящего договора или приложений, дополнительных соглашений к нему</w:t>
      </w:r>
      <w:r w:rsidDel="00000000" w:rsidR="00000000" w:rsidRPr="00000000">
        <w:rPr>
          <w:sz w:val="24"/>
          <w:szCs w:val="24"/>
          <w:rtl w:val="0"/>
        </w:rPr>
        <w:t xml:space="preserve">, за исключением случаев, когда такая информация должна быть передана по законным и обоснованным требованиям компетентных органов государственной власти в соответствии с законодательством РФ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Жертвователь дает Организации свое согласие на раскрытие и распространение информации о совершенном пожертвовании, в том числе о его размере, в том числе на официальном  сайте  Организации  в  информационно-телекоммуникационной  сети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что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урегулировано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настоящим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Договором,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руководствуются нормами действующего законодательства Российской Федерации.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 уведомления и сообщения, связанные с исполнением настоящего Договора, должны направляться в письменной форме.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0" w:line="276" w:lineRule="auto"/>
        <w:ind w:left="708.6614173228347" w:right="0" w:hanging="708.6614173228347"/>
        <w:jc w:val="both"/>
        <w:rPr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Настоящий Договор составлен и подписан Сторонами в 2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09"/>
        </w:tabs>
        <w:spacing w:after="0" w:before="0" w:line="276" w:lineRule="auto"/>
        <w:ind w:left="708.6614173228347" w:right="0" w:hanging="708.6614173228347"/>
        <w:jc w:val="left"/>
        <w:rPr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00"/>
        <w:gridCol w:w="5100"/>
        <w:tblGridChange w:id="0">
          <w:tblGrid>
            <w:gridCol w:w="5100"/>
            <w:gridCol w:w="510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Жертвователь: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Организация: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Паспортные данные: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  <w:tab w:val="left" w:leader="none" w:pos="1132"/>
                <w:tab w:val="left" w:leader="none" w:pos="4245"/>
              </w:tabs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серия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  <w:br w:type="textWrapping"/>
              <w:t xml:space="preserve">кем выдан: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  <w:br w:type="textWrapping"/>
              <w:t xml:space="preserve">дата выдачи: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br w:type="textWrapping"/>
              <w:t xml:space="preserve">код подразделения: </w:t>
            </w:r>
            <w:r w:rsidDel="00000000" w:rsidR="00000000" w:rsidRPr="00000000">
              <w:rPr>
                <w:smallCaps w:val="0"/>
                <w:strike w:val="0"/>
                <w:color w:val="000000"/>
                <w:sz w:val="24"/>
                <w:szCs w:val="24"/>
                <w:u w:val="single"/>
                <w:vertAlign w:val="baseline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</w:tabs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4251.968503937008"/>
              </w:tabs>
              <w:spacing w:after="0" w:before="0" w:line="276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Зарегистрирован/на по адресу:</w:t>
            </w:r>
          </w:p>
          <w:p w:rsidR="00000000" w:rsidDel="00000000" w:rsidP="00000000" w:rsidRDefault="00000000" w:rsidRPr="00000000" w14:paraId="0000003C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3D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3E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3F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0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ab/>
            </w:r>
          </w:p>
          <w:p w:rsidR="00000000" w:rsidDel="00000000" w:rsidP="00000000" w:rsidRDefault="00000000" w:rsidRPr="00000000" w14:paraId="00000041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2597785" cy="698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047100" y="3775075"/>
                                <a:ext cx="2597785" cy="6985"/>
                                <a:chOff x="4047100" y="3775075"/>
                                <a:chExt cx="2597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047108" y="3776508"/>
                                  <a:ext cx="2597785" cy="6975"/>
                                  <a:chOff x="0" y="0"/>
                                  <a:chExt cx="2597785" cy="69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597775" cy="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340"/>
                                    <a:ext cx="259778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597785">
                                        <a:moveTo>
                                          <a:pt x="0" y="0"/>
                                        </a:moveTo>
                                        <a:lnTo>
                                          <a:pt x="1649870" y="0"/>
                                        </a:lnTo>
                                      </a:path>
                                      <a:path extrusionOk="0" h="120000" w="2597785">
                                        <a:moveTo>
                                          <a:pt x="1691018" y="0"/>
                                        </a:moveTo>
                                        <a:lnTo>
                                          <a:pt x="25975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597785" cy="6985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97785" cy="69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right" w:leader="none" w:pos="4251.968503937008"/>
                <w:tab w:val="left" w:leader="none" w:pos="4245"/>
              </w:tabs>
              <w:spacing w:line="276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(подпись)                             (расшифровка)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Автономная некоммерческая</w:t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организация социальных и</w:t>
            </w:r>
          </w:p>
          <w:p w:rsidR="00000000" w:rsidDel="00000000" w:rsidP="00000000" w:rsidRDefault="00000000" w:rsidRPr="00000000" w14:paraId="00000048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благотворительных программ</w:t>
            </w:r>
          </w:p>
          <w:p w:rsidR="00000000" w:rsidDel="00000000" w:rsidP="00000000" w:rsidRDefault="00000000" w:rsidRPr="00000000" w14:paraId="00000049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«СИНЯЯ ПТИЦА»</w:t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ИНН 2330039722</w:t>
            </w:r>
          </w:p>
          <w:p w:rsidR="00000000" w:rsidDel="00000000" w:rsidP="00000000" w:rsidRDefault="00000000" w:rsidRPr="00000000" w14:paraId="0000004C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КПП 231001001</w:t>
            </w:r>
          </w:p>
          <w:p w:rsidR="00000000" w:rsidDel="00000000" w:rsidP="00000000" w:rsidRDefault="00000000" w:rsidRPr="00000000" w14:paraId="0000004D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ОГРН 1102300007083</w:t>
            </w:r>
          </w:p>
          <w:p w:rsidR="00000000" w:rsidDel="00000000" w:rsidP="00000000" w:rsidRDefault="00000000" w:rsidRPr="00000000" w14:paraId="0000004E">
            <w:pPr>
              <w:keepNext w:val="1"/>
              <w:shd w:fill="ffffff" w:val="clear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р/с 40703 810 1 3000 0005039</w:t>
            </w:r>
          </w:p>
          <w:p w:rsidR="00000000" w:rsidDel="00000000" w:rsidP="00000000" w:rsidRDefault="00000000" w:rsidRPr="00000000" w14:paraId="0000004F">
            <w:pPr>
              <w:keepNext w:val="1"/>
              <w:shd w:fill="ffffff" w:val="clear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Краснодарское отделение N8619 ПАО Сбербанк</w:t>
              <w:br w:type="textWrapping"/>
              <w:t xml:space="preserve"> к/с: 30101810100000000602</w:t>
              <w:br w:type="textWrapping"/>
              <w:t xml:space="preserve"> БИК: 040349602</w:t>
            </w:r>
          </w:p>
          <w:p w:rsidR="00000000" w:rsidDel="00000000" w:rsidP="00000000" w:rsidRDefault="00000000" w:rsidRPr="00000000" w14:paraId="00000050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Адрес: 350000 г. Краснодар, ул. Одесская д. 48 здание литер «З»</w:t>
            </w:r>
          </w:p>
          <w:p w:rsidR="00000000" w:rsidDel="00000000" w:rsidP="00000000" w:rsidRDefault="00000000" w:rsidRPr="00000000" w14:paraId="00000051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53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                   / Кураускас А.В /</w:t>
            </w:r>
          </w:p>
          <w:p w:rsidR="00000000" w:rsidDel="00000000" w:rsidP="00000000" w:rsidRDefault="00000000" w:rsidRPr="00000000" w14:paraId="00000055">
            <w:pPr>
              <w:keepNext w:val="1"/>
              <w:tabs>
                <w:tab w:val="left" w:leader="none" w:pos="4663"/>
              </w:tabs>
              <w:spacing w:after="0" w:before="0" w:line="276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8.661417322834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76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spacing w:line="276" w:lineRule="auto"/>
        <w:jc w:val="center"/>
        <w:rPr/>
      </w:pPr>
      <w:bookmarkStart w:colFirst="0" w:colLast="0" w:name="_k8iqr0cjojzz" w:id="0"/>
      <w:bookmarkEnd w:id="0"/>
      <w:r w:rsidDel="00000000" w:rsidR="00000000" w:rsidRPr="00000000">
        <w:rPr>
          <w:b w:val="1"/>
          <w:rtl w:val="0"/>
        </w:rPr>
        <w:t xml:space="preserve">ПАМЯТКА</w:t>
        <w:br w:type="textWrapping"/>
      </w:r>
      <w:r w:rsidDel="00000000" w:rsidR="00000000" w:rsidRPr="00000000">
        <w:rPr>
          <w:rtl w:val="0"/>
        </w:rPr>
        <w:t xml:space="preserve">Целевой капитал «Открытие»</w:t>
      </w:r>
    </w:p>
    <w:p w:rsidR="00000000" w:rsidDel="00000000" w:rsidP="00000000" w:rsidRDefault="00000000" w:rsidRPr="00000000" w14:paraId="0000005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76" w:lineRule="auto"/>
        <w:ind w:left="720" w:hanging="294.8031496062991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создан решением Совета Учредителей АНО социальных и благотворительных программ «Синяя птица» (далее - Организация) (Протокол №1 от 26 июня 2023г) в порядке, предусмотренном Федеральным законом от 30.12.2006 № 275-ФЗ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76" w:lineRule="auto"/>
        <w:ind w:left="720" w:hanging="294.8031496062991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передан в доверительное управление </w:t>
      </w:r>
      <w:r w:rsidDel="00000000" w:rsidR="00000000" w:rsidRPr="00000000">
        <w:rPr>
          <w:sz w:val="24"/>
          <w:szCs w:val="24"/>
          <w:rtl w:val="0"/>
        </w:rPr>
        <w:t xml:space="preserve">Управляющей компании ООО УК «Открытие» 25 августа 2023 года.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76" w:lineRule="auto"/>
        <w:ind w:left="720" w:hanging="294.8031496062991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Цель создания целевого капитала: обеспечение устойчивого развития Организации и решения следующих задач: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стабильной деятельности Центра развития «Верь в себя»;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системной, комплексной непрерывной помощи семьям с детьми в паллиативном состоянии программы «ЯЖивой»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обеспечение других уставных целей Организации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76" w:lineRule="auto"/>
        <w:ind w:left="720" w:hanging="294.8031496062991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Характеристики сформированного целевого капитала: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Целевой капитал «Открытие» сформирован на срок </w:t>
      </w:r>
      <w:r w:rsidDel="00000000" w:rsidR="00000000" w:rsidRPr="00000000">
        <w:rPr>
          <w:sz w:val="24"/>
          <w:szCs w:val="24"/>
          <w:rtl w:val="0"/>
        </w:rPr>
        <w:t xml:space="preserve">10 лет.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Цель использования дохода от целевого капитала «Открытие»: </w:t>
      </w:r>
      <w:r w:rsidDel="00000000" w:rsidR="00000000" w:rsidRPr="00000000">
        <w:rPr>
          <w:sz w:val="24"/>
          <w:szCs w:val="24"/>
          <w:rtl w:val="0"/>
        </w:rPr>
        <w:t xml:space="preserve">использование Получателем дохода от целевого капитала для поддержки основной уставной деятельности Организации в соответствии с пунктом 4 статьи 4 ФЗ «О порядке формирования и использования целевого капитала некоммерческих организаций»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Организация одновременно является собственником целевого капитала и получателем дохода от целевого капитала на основании Федерального закона от 30.12.2006 № 275-ФЗ «О порядке формирования и использования целевого капитала некоммерческих организаций»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Порядок и периодичность передачи дохода от целевого капитала в пользу получателей дохода определяется решением</w:t>
      </w:r>
      <w:r w:rsidDel="00000000" w:rsidR="00000000" w:rsidRPr="00000000">
        <w:rPr>
          <w:sz w:val="24"/>
          <w:szCs w:val="24"/>
          <w:rtl w:val="0"/>
        </w:rPr>
        <w:t xml:space="preserve"> Совета по использованию целевого капитала и Совета учредителей Организации, в соответствии с утвержденным финансовым планом и не может быть более чем два раза в год.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276" w:lineRule="auto"/>
        <w:ind w:left="708.6614173228347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Основаниями для расформирования целевого капитала являются: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истечение срока, на который был сформирован целевой капитал;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принятие решения судом о ликвидации Организации;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276" w:lineRule="auto"/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иные предусмотренные законодательством случаи.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расформирования целевого капитала Организация обязана передать оставшуюся часть имущества, составлявшего целевой капитал на формирование или пополнение целевого капитала другой некоммерческой организации на цели</w:t>
      </w:r>
      <w:r w:rsidDel="00000000" w:rsidR="00000000" w:rsidRPr="00000000">
        <w:rPr>
          <w:sz w:val="24"/>
          <w:szCs w:val="24"/>
          <w:rtl w:val="0"/>
        </w:rPr>
        <w:t xml:space="preserve">, указанные в п.3.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141.732283464567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Изменение цели использования дохода от целевого капитала, срока, на который сформирован целевой капитал, получателей дохода от целевого капитала, порядка и периодичности передачи дохода от целевого капитала осуществляется в порядке, установленном законодательством РФ и документами Организации.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.80314960629914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Адрес сайта в сети Интернет для размещения информации о деятельности Организации: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https://sinyaya-ptitsa.ru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headerReference r:id="rId8" w:type="default"/>
      <w:headerReference r:id="rId9" w:type="first"/>
      <w:footerReference r:id="rId10" w:type="first"/>
      <w:pgSz w:h="16840" w:w="11910" w:orient="portrait"/>
      <w:pgMar w:bottom="566.9291338582677" w:top="566.9291338582677" w:left="1133.8582677165355" w:right="566.9291338582677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widowControl w:val="1"/>
      <w:tabs>
        <w:tab w:val="center" w:leader="none" w:pos="4677"/>
        <w:tab w:val="right" w:leader="none" w:pos="10470"/>
      </w:tabs>
      <w:ind w:left="-1417.3228346456694" w:right="-1440" w:firstLine="425.19685039370086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542189" cy="1281113"/>
          <wp:effectExtent b="0" l="0" r="0" t="0"/>
          <wp:docPr descr="D:\ptica\Синяя птица\бланк.jpg" id="2" name="image1.jpg"/>
          <a:graphic>
            <a:graphicData uri="http://schemas.openxmlformats.org/drawingml/2006/picture">
              <pic:pic>
                <pic:nvPicPr>
                  <pic:cNvPr descr="D:\ptica\Синяя птица\бланк.jpg" id="0" name="image1.jpg"/>
                  <pic:cNvPicPr preferRelativeResize="0"/>
                </pic:nvPicPr>
                <pic:blipFill>
                  <a:blip r:embed="rId1"/>
                  <a:srcRect b="85807" l="0" r="0" t="2345"/>
                  <a:stretch>
                    <a:fillRect/>
                  </a:stretch>
                </pic:blipFill>
                <pic:spPr>
                  <a:xfrm>
                    <a:off x="0" y="0"/>
                    <a:ext cx="7542189" cy="1281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294.80314960629914"/>
      </w:pPr>
      <w:rPr>
        <w:u w:val="none"/>
      </w:rPr>
    </w:lvl>
    <w:lvl w:ilvl="1">
      <w:start w:val="1"/>
      <w:numFmt w:val="decimal"/>
      <w:lvlText w:val="%1.%2."/>
      <w:lvlJc w:val="right"/>
      <w:pPr>
        <w:ind w:left="708.6614173228347" w:hanging="141.73228346456722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15" w:hanging="658"/>
      </w:pPr>
      <w:rPr>
        <w:rFonts w:ascii="Times New Roman" w:cs="Times New Roman" w:eastAsia="Times New Roman" w:hAnsi="Times New Roman"/>
        <w:b w:val="0"/>
        <w:i w:val="0"/>
        <w:sz w:val="26"/>
        <w:szCs w:val="26"/>
      </w:rPr>
    </w:lvl>
    <w:lvl w:ilvl="3">
      <w:start w:val="0"/>
      <w:numFmt w:val="bullet"/>
      <w:lvlText w:val="•"/>
      <w:lvlJc w:val="left"/>
      <w:pPr>
        <w:ind w:left="4845" w:hanging="658"/>
      </w:pPr>
      <w:rPr/>
    </w:lvl>
    <w:lvl w:ilvl="4">
      <w:start w:val="0"/>
      <w:numFmt w:val="bullet"/>
      <w:lvlText w:val="•"/>
      <w:lvlJc w:val="left"/>
      <w:pPr>
        <w:ind w:left="5611" w:hanging="658"/>
      </w:pPr>
      <w:rPr/>
    </w:lvl>
    <w:lvl w:ilvl="5">
      <w:start w:val="0"/>
      <w:numFmt w:val="bullet"/>
      <w:lvlText w:val="•"/>
      <w:lvlJc w:val="left"/>
      <w:pPr>
        <w:ind w:left="6377" w:hanging="657.9999999999991"/>
      </w:pPr>
      <w:rPr/>
    </w:lvl>
    <w:lvl w:ilvl="6">
      <w:start w:val="0"/>
      <w:numFmt w:val="bullet"/>
      <w:lvlText w:val="•"/>
      <w:lvlJc w:val="left"/>
      <w:pPr>
        <w:ind w:left="7143" w:hanging="658"/>
      </w:pPr>
      <w:rPr/>
    </w:lvl>
    <w:lvl w:ilvl="7">
      <w:start w:val="0"/>
      <w:numFmt w:val="bullet"/>
      <w:lvlText w:val="•"/>
      <w:lvlJc w:val="left"/>
      <w:pPr>
        <w:ind w:left="7909" w:hanging="658"/>
      </w:pPr>
      <w:rPr/>
    </w:lvl>
    <w:lvl w:ilvl="8">
      <w:start w:val="0"/>
      <w:numFmt w:val="bullet"/>
      <w:lvlText w:val="•"/>
      <w:lvlJc w:val="left"/>
      <w:pPr>
        <w:ind w:left="8674" w:hanging="658"/>
      </w:pPr>
      <w:rPr/>
    </w:lvl>
  </w:abstractNum>
  <w:abstractNum w:abstractNumId="3">
    <w:lvl w:ilvl="0">
      <w:start w:val="1"/>
      <w:numFmt w:val="bullet"/>
      <w:lvlText w:val="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sinyaya-ptitsa.ru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2021-01-21T00:00:00Z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2024-09-17T00:00:00Z</vt:lpwstr>
  </property>
  <property fmtid="{D5CDD505-2E9C-101B-9397-08002B2CF9AE}" pid="5" name="Producer">
    <vt:lpwstr>Microsoft® Word 2013</vt:lpwstr>
  </property>
</Properties>
</file>